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CA" w:rsidRDefault="006B36CA" w:rsidP="006B36CA">
      <w:pPr>
        <w:spacing w:after="0" w:line="240" w:lineRule="auto"/>
        <w:rPr>
          <w:b/>
        </w:rPr>
      </w:pPr>
      <w:r>
        <w:rPr>
          <w:b/>
        </w:rPr>
        <w:t xml:space="preserve">The University of Iowa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5DAC">
        <w:rPr>
          <w:b/>
        </w:rPr>
        <w:tab/>
      </w:r>
      <w:r w:rsidR="00725DAC">
        <w:rPr>
          <w:b/>
        </w:rPr>
        <w:tab/>
        <w:t>Grant Accounting</w:t>
      </w:r>
    </w:p>
    <w:p w:rsidR="006B36CA" w:rsidRDefault="006B36CA" w:rsidP="006B36CA">
      <w:pPr>
        <w:spacing w:after="0" w:line="240" w:lineRule="auto"/>
        <w:ind w:right="-630"/>
        <w:jc w:val="center"/>
        <w:rPr>
          <w:b/>
        </w:rPr>
      </w:pPr>
      <w:r w:rsidRPr="00E31F44">
        <w:rPr>
          <w:b/>
          <w:u w:val="single"/>
        </w:rPr>
        <w:t>Request and Justification Form to Transfer Salary/Fringe Expen</w:t>
      </w:r>
      <w:r>
        <w:rPr>
          <w:b/>
          <w:u w:val="single"/>
        </w:rPr>
        <w:t>se</w:t>
      </w:r>
      <w:r w:rsidRPr="00E31F44">
        <w:rPr>
          <w:b/>
          <w:u w:val="single"/>
        </w:rPr>
        <w:t xml:space="preserve">s to </w:t>
      </w:r>
      <w:r w:rsidR="007D49A7">
        <w:rPr>
          <w:b/>
          <w:u w:val="single"/>
        </w:rPr>
        <w:t>Sponsored Project</w:t>
      </w:r>
      <w:r w:rsidRPr="00E31F44">
        <w:rPr>
          <w:b/>
          <w:u w:val="single"/>
        </w:rPr>
        <w:t xml:space="preserve"> Funds</w:t>
      </w:r>
      <w:r w:rsidR="007D49A7">
        <w:rPr>
          <w:b/>
          <w:u w:val="single"/>
        </w:rPr>
        <w:t xml:space="preserve"> (500/510)</w:t>
      </w:r>
    </w:p>
    <w:p w:rsidR="006B36CA" w:rsidRDefault="006B36CA" w:rsidP="006B36CA">
      <w:pPr>
        <w:spacing w:after="0" w:line="240" w:lineRule="auto"/>
        <w:ind w:right="-630"/>
        <w:jc w:val="center"/>
        <w:rPr>
          <w:b/>
        </w:rPr>
      </w:pPr>
    </w:p>
    <w:p w:rsidR="006B36CA" w:rsidRPr="00D9067F" w:rsidRDefault="006B36CA" w:rsidP="006B36CA">
      <w:pPr>
        <w:spacing w:after="0" w:line="240" w:lineRule="auto"/>
        <w:ind w:right="-630"/>
        <w:rPr>
          <w:b/>
          <w:sz w:val="20"/>
          <w:szCs w:val="20"/>
        </w:rPr>
      </w:pPr>
      <w:r w:rsidRPr="00D9067F">
        <w:rPr>
          <w:b/>
          <w:sz w:val="20"/>
          <w:szCs w:val="20"/>
        </w:rPr>
        <w:t xml:space="preserve">Expense transfers involving salary and fringe from one account to another should generally be handled through an HR Change of Status </w:t>
      </w:r>
      <w:r>
        <w:rPr>
          <w:b/>
          <w:sz w:val="20"/>
          <w:szCs w:val="20"/>
        </w:rPr>
        <w:t xml:space="preserve">(COS) </w:t>
      </w:r>
      <w:r w:rsidRPr="00D9067F">
        <w:rPr>
          <w:b/>
          <w:sz w:val="20"/>
          <w:szCs w:val="20"/>
        </w:rPr>
        <w:t xml:space="preserve">transaction. </w:t>
      </w:r>
      <w:r w:rsidRPr="00D9067F">
        <w:rPr>
          <w:sz w:val="20"/>
          <w:szCs w:val="20"/>
        </w:rPr>
        <w:t xml:space="preserve">This will update both the HR records pertaining to </w:t>
      </w:r>
      <w:r w:rsidRPr="00D9067F">
        <w:rPr>
          <w:b/>
          <w:sz w:val="20"/>
          <w:szCs w:val="20"/>
        </w:rPr>
        <w:t>any</w:t>
      </w:r>
      <w:r w:rsidRPr="00D9067F">
        <w:rPr>
          <w:sz w:val="20"/>
          <w:szCs w:val="20"/>
        </w:rPr>
        <w:t xml:space="preserve"> employee and will generate the correction of payroll records for </w:t>
      </w:r>
      <w:r w:rsidRPr="00D9067F">
        <w:rPr>
          <w:b/>
          <w:sz w:val="20"/>
          <w:szCs w:val="20"/>
        </w:rPr>
        <w:t>monthly</w:t>
      </w:r>
      <w:r w:rsidRPr="00D9067F">
        <w:rPr>
          <w:sz w:val="20"/>
          <w:szCs w:val="20"/>
        </w:rPr>
        <w:t xml:space="preserve"> employees (</w:t>
      </w:r>
      <w:r w:rsidRPr="00D9067F">
        <w:rPr>
          <w:b/>
          <w:sz w:val="20"/>
          <w:szCs w:val="20"/>
        </w:rPr>
        <w:t>not biweekly</w:t>
      </w:r>
      <w:r w:rsidRPr="00D9067F">
        <w:rPr>
          <w:sz w:val="20"/>
          <w:szCs w:val="20"/>
        </w:rPr>
        <w:t>).</w:t>
      </w:r>
      <w:r w:rsidRPr="00D9067F">
        <w:rPr>
          <w:b/>
          <w:sz w:val="20"/>
          <w:szCs w:val="20"/>
        </w:rPr>
        <w:t xml:space="preserve"> </w:t>
      </w:r>
    </w:p>
    <w:p w:rsidR="006B36CA" w:rsidRDefault="006B36CA" w:rsidP="006B36CA">
      <w:pPr>
        <w:spacing w:after="0" w:line="240" w:lineRule="auto"/>
        <w:ind w:right="-630"/>
        <w:rPr>
          <w:b/>
        </w:rPr>
      </w:pPr>
    </w:p>
    <w:p w:rsidR="006B36CA" w:rsidRPr="00D9067F" w:rsidRDefault="006B36CA" w:rsidP="006B36CA">
      <w:pPr>
        <w:spacing w:after="0" w:line="240" w:lineRule="auto"/>
        <w:ind w:right="-630"/>
        <w:rPr>
          <w:sz w:val="20"/>
          <w:szCs w:val="20"/>
        </w:rPr>
      </w:pPr>
      <w:r w:rsidRPr="00D9067F">
        <w:rPr>
          <w:b/>
          <w:sz w:val="20"/>
          <w:szCs w:val="20"/>
        </w:rPr>
        <w:t>Use this form if:</w:t>
      </w:r>
      <w:r w:rsidRPr="00D9067F">
        <w:rPr>
          <w:sz w:val="20"/>
          <w:szCs w:val="20"/>
        </w:rPr>
        <w:t xml:space="preserve"> </w:t>
      </w:r>
    </w:p>
    <w:p w:rsidR="000C2710" w:rsidRPr="00D9067F" w:rsidRDefault="000C2710" w:rsidP="000C2710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0"/>
          <w:szCs w:val="20"/>
        </w:rPr>
      </w:pPr>
      <w:r w:rsidRPr="00D9067F">
        <w:rPr>
          <w:sz w:val="20"/>
          <w:szCs w:val="20"/>
        </w:rPr>
        <w:t>expen</w:t>
      </w:r>
      <w:r>
        <w:rPr>
          <w:sz w:val="20"/>
          <w:szCs w:val="20"/>
        </w:rPr>
        <w:t>ses</w:t>
      </w:r>
      <w:r w:rsidRPr="00D9067F">
        <w:rPr>
          <w:sz w:val="20"/>
          <w:szCs w:val="20"/>
        </w:rPr>
        <w:t xml:space="preserve"> are being moved </w:t>
      </w:r>
      <w:r w:rsidRPr="00725DAC">
        <w:rPr>
          <w:b/>
          <w:sz w:val="20"/>
          <w:szCs w:val="20"/>
          <w:u w:val="single"/>
        </w:rPr>
        <w:t>to</w:t>
      </w:r>
      <w:r w:rsidRPr="00D9067F">
        <w:rPr>
          <w:sz w:val="20"/>
          <w:szCs w:val="20"/>
        </w:rPr>
        <w:t xml:space="preserve"> a sponsored project account (funds 500</w:t>
      </w:r>
      <w:r w:rsidR="00725DAC">
        <w:rPr>
          <w:sz w:val="20"/>
          <w:szCs w:val="20"/>
        </w:rPr>
        <w:t>/</w:t>
      </w:r>
      <w:r w:rsidRPr="00D9067F">
        <w:rPr>
          <w:sz w:val="20"/>
          <w:szCs w:val="20"/>
        </w:rPr>
        <w:t>510)</w:t>
      </w:r>
    </w:p>
    <w:p w:rsidR="006B36CA" w:rsidRPr="00D9067F" w:rsidRDefault="006B36CA" w:rsidP="006B36CA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0"/>
          <w:szCs w:val="20"/>
        </w:rPr>
      </w:pPr>
      <w:r w:rsidRPr="00D9067F">
        <w:rPr>
          <w:sz w:val="20"/>
          <w:szCs w:val="20"/>
        </w:rPr>
        <w:t xml:space="preserve">employee has a biweekly appointment  - or -  employee has a monthly appointment and an HR </w:t>
      </w:r>
      <w:r>
        <w:rPr>
          <w:sz w:val="20"/>
          <w:szCs w:val="20"/>
        </w:rPr>
        <w:t>COS</w:t>
      </w:r>
      <w:r w:rsidRPr="00D9067F">
        <w:rPr>
          <w:sz w:val="20"/>
          <w:szCs w:val="20"/>
        </w:rPr>
        <w:t xml:space="preserve"> is not appropriate</w:t>
      </w:r>
    </w:p>
    <w:p w:rsidR="006B36CA" w:rsidRPr="00D9067F" w:rsidRDefault="006B36CA" w:rsidP="006B36CA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sz w:val="20"/>
          <w:szCs w:val="20"/>
        </w:rPr>
      </w:pPr>
      <w:r w:rsidRPr="00D9067F">
        <w:rPr>
          <w:sz w:val="20"/>
          <w:szCs w:val="20"/>
        </w:rPr>
        <w:t>salary/fringe transfers</w:t>
      </w:r>
      <w:r>
        <w:rPr>
          <w:sz w:val="20"/>
          <w:szCs w:val="20"/>
        </w:rPr>
        <w:t xml:space="preserve"> are </w:t>
      </w:r>
      <w:r w:rsidRPr="00D9067F">
        <w:rPr>
          <w:sz w:val="20"/>
          <w:szCs w:val="20"/>
        </w:rPr>
        <w:t xml:space="preserve"> &gt; 90 days after </w:t>
      </w:r>
      <w:r w:rsidR="000C2710">
        <w:rPr>
          <w:sz w:val="20"/>
          <w:szCs w:val="20"/>
        </w:rPr>
        <w:t xml:space="preserve">the </w:t>
      </w:r>
      <w:r w:rsidRPr="00D9067F">
        <w:rPr>
          <w:sz w:val="20"/>
          <w:szCs w:val="20"/>
        </w:rPr>
        <w:t xml:space="preserve">effective date of </w:t>
      </w:r>
      <w:r w:rsidR="000C2710">
        <w:rPr>
          <w:sz w:val="20"/>
          <w:szCs w:val="20"/>
        </w:rPr>
        <w:t xml:space="preserve">the </w:t>
      </w:r>
      <w:r w:rsidRPr="00D9067F">
        <w:rPr>
          <w:sz w:val="20"/>
          <w:szCs w:val="20"/>
        </w:rPr>
        <w:t>original transaction</w:t>
      </w:r>
    </w:p>
    <w:p w:rsidR="0074448B" w:rsidRPr="0074448B" w:rsidRDefault="0074448B" w:rsidP="0074448B">
      <w:pPr>
        <w:spacing w:after="0" w:line="240" w:lineRule="auto"/>
        <w:ind w:right="-630"/>
        <w:rPr>
          <w:sz w:val="20"/>
          <w:szCs w:val="20"/>
        </w:rPr>
      </w:pPr>
    </w:p>
    <w:p w:rsidR="00825178" w:rsidRDefault="00A30E0B" w:rsidP="0082517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have </w:t>
      </w:r>
      <w:r w:rsidR="00725DAC">
        <w:rPr>
          <w:sz w:val="20"/>
          <w:szCs w:val="20"/>
        </w:rPr>
        <w:t>Grant Accounting</w:t>
      </w:r>
      <w:r>
        <w:rPr>
          <w:sz w:val="20"/>
          <w:szCs w:val="20"/>
        </w:rPr>
        <w:t xml:space="preserve"> make these expense transfers through the </w:t>
      </w:r>
      <w:proofErr w:type="spellStart"/>
      <w:r>
        <w:rPr>
          <w:sz w:val="20"/>
          <w:szCs w:val="20"/>
        </w:rPr>
        <w:t>PayCV</w:t>
      </w:r>
      <w:proofErr w:type="spellEnd"/>
      <w:r>
        <w:rPr>
          <w:sz w:val="20"/>
          <w:szCs w:val="20"/>
        </w:rPr>
        <w:t xml:space="preserve"> application, c</w:t>
      </w:r>
      <w:r w:rsidR="00825178">
        <w:rPr>
          <w:sz w:val="20"/>
          <w:szCs w:val="20"/>
        </w:rPr>
        <w:t xml:space="preserve">omplete this form by answering all questions, providing required and supplemental information and getting the appropriate departmental signatures.  Keep a copy of the completed, signed form in departmental files and send another one to </w:t>
      </w:r>
      <w:r w:rsidR="00FE58EC">
        <w:rPr>
          <w:b/>
          <w:sz w:val="20"/>
          <w:szCs w:val="20"/>
        </w:rPr>
        <w:t>Bamidele Alarape</w:t>
      </w:r>
      <w:r w:rsidR="00825178" w:rsidRPr="00221ACF">
        <w:rPr>
          <w:b/>
          <w:sz w:val="20"/>
          <w:szCs w:val="20"/>
        </w:rPr>
        <w:t xml:space="preserve">, </w:t>
      </w:r>
      <w:r w:rsidR="00725DAC">
        <w:rPr>
          <w:b/>
          <w:sz w:val="20"/>
          <w:szCs w:val="20"/>
        </w:rPr>
        <w:t>Grant Accounting</w:t>
      </w:r>
      <w:r w:rsidR="00825178" w:rsidRPr="00221ACF">
        <w:rPr>
          <w:b/>
          <w:sz w:val="20"/>
          <w:szCs w:val="20"/>
        </w:rPr>
        <w:t xml:space="preserve">, </w:t>
      </w:r>
      <w:r w:rsidR="00725DAC">
        <w:rPr>
          <w:b/>
          <w:sz w:val="20"/>
          <w:szCs w:val="20"/>
        </w:rPr>
        <w:t>B5</w:t>
      </w:r>
      <w:r w:rsidR="00825178" w:rsidRPr="00221ACF">
        <w:rPr>
          <w:b/>
          <w:sz w:val="20"/>
          <w:szCs w:val="20"/>
        </w:rPr>
        <w:t xml:space="preserve"> Jessup Hall</w:t>
      </w:r>
      <w:r w:rsidR="00825178">
        <w:rPr>
          <w:sz w:val="20"/>
          <w:szCs w:val="20"/>
        </w:rPr>
        <w:t xml:space="preserve"> or scan and attach the completed form in an email to </w:t>
      </w:r>
      <w:hyperlink r:id="rId6" w:history="1">
        <w:r w:rsidR="00FE58EC">
          <w:rPr>
            <w:rStyle w:val="Hyperlink"/>
          </w:rPr>
          <w:t>bamidele-alarape@uiowa.edu</w:t>
        </w:r>
      </w:hyperlink>
      <w:r w:rsidR="00BD4BBD">
        <w:rPr>
          <w:sz w:val="20"/>
          <w:szCs w:val="20"/>
        </w:rPr>
        <w:t>, (</w:t>
      </w:r>
      <w:r w:rsidR="00FE58EC">
        <w:rPr>
          <w:sz w:val="20"/>
          <w:szCs w:val="20"/>
        </w:rPr>
        <w:t>Bamidele</w:t>
      </w:r>
      <w:r w:rsidR="00BD4BBD">
        <w:rPr>
          <w:sz w:val="20"/>
          <w:szCs w:val="20"/>
        </w:rPr>
        <w:t xml:space="preserve"> will then forward requests to the appropriate Grant Accountant for review and processing).</w:t>
      </w:r>
      <w:r w:rsidR="00D7580F">
        <w:rPr>
          <w:sz w:val="20"/>
          <w:szCs w:val="20"/>
        </w:rPr>
        <w:t xml:space="preserve">  </w:t>
      </w:r>
      <w:r w:rsidR="00725DAC">
        <w:rPr>
          <w:sz w:val="20"/>
          <w:szCs w:val="20"/>
        </w:rPr>
        <w:t xml:space="preserve"> </w:t>
      </w:r>
    </w:p>
    <w:p w:rsidR="006B36CA" w:rsidRDefault="006B36CA" w:rsidP="006B36C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86C" w:rsidRDefault="00A7186C" w:rsidP="00A7186C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Why was this expense originally charged to the account from which it is now being transferred (in other words, explain the error or circumstance for originally charging the incorrect account)?</w:t>
      </w:r>
    </w:p>
    <w:p w:rsidR="00A7186C" w:rsidRPr="00A7186C" w:rsidRDefault="00A7186C" w:rsidP="00A7186C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Why should this expense be transferred to the proposed sponsored research project account (in other words, </w:t>
      </w:r>
      <w:r w:rsidRPr="00A7186C">
        <w:rPr>
          <w:rFonts w:ascii="Arial" w:hAnsi="Arial" w:cs="Arial"/>
          <w:b/>
          <w:bCs/>
          <w:sz w:val="20"/>
          <w:szCs w:val="20"/>
        </w:rPr>
        <w:t>provide an explanation as to how this expense benefits the project)?</w:t>
      </w:r>
    </w:p>
    <w:p w:rsidR="006B36CA" w:rsidRDefault="006B36CA" w:rsidP="006B36CA">
      <w:pPr>
        <w:numPr>
          <w:ilvl w:val="0"/>
          <w:numId w:val="1"/>
        </w:numPr>
        <w:spacing w:after="0" w:line="240" w:lineRule="auto"/>
        <w:rPr>
          <w:b/>
        </w:rPr>
      </w:pPr>
      <w:r w:rsidRPr="004A33EB">
        <w:rPr>
          <w:b/>
        </w:rPr>
        <w:t>Why is this expense transfer being requested more than 90 days after the original transaction?</w:t>
      </w:r>
    </w:p>
    <w:p w:rsidR="00725DAC" w:rsidRPr="004A33EB" w:rsidRDefault="00725DAC" w:rsidP="00725DAC">
      <w:pPr>
        <w:spacing w:after="0" w:line="240" w:lineRule="auto"/>
        <w:rPr>
          <w:b/>
        </w:rPr>
      </w:pPr>
    </w:p>
    <w:p w:rsidR="006B36CA" w:rsidRDefault="006B36CA" w:rsidP="006B36CA">
      <w:pPr>
        <w:numPr>
          <w:ilvl w:val="0"/>
          <w:numId w:val="1"/>
        </w:numPr>
        <w:spacing w:after="0" w:line="240" w:lineRule="auto"/>
        <w:rPr>
          <w:b/>
        </w:rPr>
      </w:pPr>
      <w:r w:rsidRPr="004A33EB">
        <w:rPr>
          <w:b/>
        </w:rPr>
        <w:t xml:space="preserve">How will you prevent this type of error </w:t>
      </w:r>
      <w:r w:rsidR="002F294A">
        <w:rPr>
          <w:b/>
        </w:rPr>
        <w:t xml:space="preserve">or situation </w:t>
      </w:r>
      <w:r w:rsidRPr="004A33EB">
        <w:rPr>
          <w:b/>
        </w:rPr>
        <w:t>from happening in the future?</w:t>
      </w:r>
    </w:p>
    <w:p w:rsidR="00725DAC" w:rsidRPr="004A33EB" w:rsidRDefault="00725DAC" w:rsidP="00725DAC">
      <w:pPr>
        <w:spacing w:after="0" w:line="240" w:lineRule="auto"/>
        <w:rPr>
          <w:b/>
        </w:rPr>
      </w:pPr>
    </w:p>
    <w:p w:rsidR="006B36CA" w:rsidRPr="004A33EB" w:rsidRDefault="006B36CA" w:rsidP="006B36CA">
      <w:pPr>
        <w:numPr>
          <w:ilvl w:val="0"/>
          <w:numId w:val="1"/>
        </w:numPr>
        <w:spacing w:after="0" w:line="240" w:lineRule="auto"/>
        <w:rPr>
          <w:b/>
        </w:rPr>
      </w:pPr>
      <w:r w:rsidRPr="004A33EB">
        <w:rPr>
          <w:b/>
        </w:rPr>
        <w:t xml:space="preserve">Was a </w:t>
      </w:r>
      <w:r w:rsidR="00AB354C">
        <w:rPr>
          <w:b/>
        </w:rPr>
        <w:t xml:space="preserve">retroactive Accounting-Only </w:t>
      </w:r>
      <w:r w:rsidRPr="004A33EB">
        <w:rPr>
          <w:b/>
        </w:rPr>
        <w:t xml:space="preserve">Change </w:t>
      </w:r>
      <w:r w:rsidR="00A30E0B">
        <w:rPr>
          <w:b/>
        </w:rPr>
        <w:t>o</w:t>
      </w:r>
      <w:r w:rsidRPr="004A33EB">
        <w:rPr>
          <w:b/>
        </w:rPr>
        <w:t xml:space="preserve">f Status </w:t>
      </w:r>
      <w:r w:rsidR="00AB354C">
        <w:rPr>
          <w:b/>
        </w:rPr>
        <w:t xml:space="preserve">transaction submitted through the HR Transaction System </w:t>
      </w:r>
      <w:r w:rsidRPr="004A33EB">
        <w:rPr>
          <w:b/>
        </w:rPr>
        <w:t xml:space="preserve">to correct the </w:t>
      </w:r>
      <w:r w:rsidR="00690B8F">
        <w:rPr>
          <w:b/>
        </w:rPr>
        <w:t xml:space="preserve">prior effective-dated </w:t>
      </w:r>
      <w:r w:rsidRPr="004A33EB">
        <w:rPr>
          <w:b/>
        </w:rPr>
        <w:t>HR appointment record(s)</w:t>
      </w:r>
      <w:r w:rsidR="00690B8F">
        <w:rPr>
          <w:b/>
        </w:rPr>
        <w:t xml:space="preserve"> impacted by this request</w:t>
      </w:r>
      <w:r w:rsidRPr="004A33EB">
        <w:rPr>
          <w:b/>
        </w:rPr>
        <w:t>?  If not, why</w:t>
      </w:r>
      <w:r>
        <w:rPr>
          <w:b/>
        </w:rPr>
        <w:t xml:space="preserve"> not</w:t>
      </w:r>
      <w:r w:rsidRPr="004A33EB">
        <w:rPr>
          <w:b/>
        </w:rPr>
        <w:t xml:space="preserve">?  </w:t>
      </w:r>
    </w:p>
    <w:p w:rsidR="006B36CA" w:rsidRDefault="006B36CA" w:rsidP="006B36CA">
      <w:pPr>
        <w:spacing w:after="0" w:line="240" w:lineRule="auto"/>
      </w:pPr>
    </w:p>
    <w:p w:rsidR="006B36CA" w:rsidRDefault="006B36CA" w:rsidP="006B36CA">
      <w:pPr>
        <w:spacing w:after="0" w:line="360" w:lineRule="auto"/>
      </w:pPr>
      <w:r w:rsidRPr="004D3981">
        <w:rPr>
          <w:b/>
        </w:rPr>
        <w:t xml:space="preserve">Requestor’ </w:t>
      </w:r>
      <w:r>
        <w:rPr>
          <w:b/>
        </w:rPr>
        <w:t>name and s</w:t>
      </w:r>
      <w:r w:rsidRPr="004D3981">
        <w:rPr>
          <w:b/>
        </w:rPr>
        <w:t>ignature:</w:t>
      </w:r>
      <w:r>
        <w:t xml:space="preserve"> ________________________________________________________________</w:t>
      </w:r>
      <w:r w:rsidRPr="004A33EB">
        <w:t xml:space="preserve"> </w:t>
      </w:r>
    </w:p>
    <w:p w:rsidR="006B36CA" w:rsidRDefault="006B36CA" w:rsidP="006B36CA">
      <w:pPr>
        <w:spacing w:after="0" w:line="360" w:lineRule="auto"/>
      </w:pPr>
      <w:r>
        <w:t>Requestor’s Phone Number: _____________________________Date: ____________________________</w:t>
      </w:r>
    </w:p>
    <w:p w:rsidR="006B36CA" w:rsidRPr="006048DF" w:rsidRDefault="006B36CA" w:rsidP="006B36CA">
      <w:pPr>
        <w:spacing w:after="0"/>
        <w:rPr>
          <w:b/>
          <w:color w:val="FF0000"/>
        </w:rPr>
      </w:pPr>
      <w:r>
        <w:rPr>
          <w:b/>
          <w:color w:val="FF0000"/>
        </w:rPr>
        <w:t>Expense</w:t>
      </w:r>
      <w:r w:rsidRPr="006048DF">
        <w:rPr>
          <w:b/>
          <w:color w:val="FF0000"/>
        </w:rPr>
        <w:t xml:space="preserve"> Transfer Approved by:</w:t>
      </w:r>
    </w:p>
    <w:p w:rsidR="006B36CA" w:rsidRDefault="006B36CA" w:rsidP="006B36CA">
      <w:pPr>
        <w:spacing w:after="0" w:line="360" w:lineRule="auto"/>
      </w:pPr>
      <w:r>
        <w:rPr>
          <w:b/>
        </w:rPr>
        <w:t xml:space="preserve">     Supervisor/</w:t>
      </w:r>
      <w:proofErr w:type="spellStart"/>
      <w:r>
        <w:rPr>
          <w:b/>
        </w:rPr>
        <w:t>Dept</w:t>
      </w:r>
      <w:proofErr w:type="spellEnd"/>
      <w:r>
        <w:rPr>
          <w:b/>
        </w:rPr>
        <w:t xml:space="preserve"> head name </w:t>
      </w:r>
      <w:r w:rsidRPr="004D3981">
        <w:rPr>
          <w:b/>
        </w:rPr>
        <w:t>and signature:</w:t>
      </w:r>
      <w:r>
        <w:t xml:space="preserve"> __________________________________________________</w:t>
      </w:r>
    </w:p>
    <w:p w:rsidR="006B36CA" w:rsidRPr="00C00F14" w:rsidRDefault="006B36CA" w:rsidP="006B36CA">
      <w:pPr>
        <w:rPr>
          <w:b/>
          <w:i/>
          <w:color w:val="FF0000"/>
          <w:sz w:val="20"/>
          <w:szCs w:val="20"/>
        </w:rPr>
      </w:pPr>
      <w:r w:rsidRPr="00C00F14">
        <w:rPr>
          <w:b/>
          <w:i/>
          <w:color w:val="FF0000"/>
          <w:sz w:val="20"/>
          <w:szCs w:val="20"/>
        </w:rPr>
        <w:t>By signing above, t</w:t>
      </w:r>
      <w:r>
        <w:rPr>
          <w:b/>
          <w:i/>
          <w:color w:val="FF0000"/>
          <w:sz w:val="20"/>
          <w:szCs w:val="20"/>
        </w:rPr>
        <w:t>he approver certifies that the expense</w:t>
      </w:r>
      <w:r w:rsidRPr="00C00F14">
        <w:rPr>
          <w:b/>
          <w:i/>
          <w:color w:val="FF0000"/>
          <w:sz w:val="20"/>
          <w:szCs w:val="20"/>
        </w:rPr>
        <w:t xml:space="preserve"> transferred is appropriate for the new account charged.  </w:t>
      </w:r>
    </w:p>
    <w:p w:rsidR="006B36CA" w:rsidRPr="004D3981" w:rsidRDefault="00087B47" w:rsidP="006B36CA">
      <w:pPr>
        <w:rPr>
          <w:b/>
          <w:i/>
        </w:rPr>
      </w:pPr>
      <w:r>
        <w:rPr>
          <w:b/>
          <w:i/>
        </w:rPr>
        <w:t>R</w:t>
      </w:r>
      <w:r w:rsidR="006B36CA" w:rsidRPr="004D3981">
        <w:rPr>
          <w:b/>
          <w:i/>
        </w:rPr>
        <w:t xml:space="preserve">eference information </w:t>
      </w:r>
      <w:r w:rsidR="006B36CA" w:rsidRPr="00087B47">
        <w:rPr>
          <w:b/>
          <w:i/>
          <w:u w:val="single"/>
        </w:rPr>
        <w:t>required</w:t>
      </w:r>
      <w:r w:rsidR="006B36CA" w:rsidRPr="004D3981">
        <w:rPr>
          <w:b/>
          <w:i/>
        </w:rPr>
        <w:t xml:space="preserve"> to complete </w:t>
      </w:r>
      <w:proofErr w:type="spellStart"/>
      <w:r w:rsidR="006B36CA" w:rsidRPr="004D3981">
        <w:rPr>
          <w:b/>
          <w:i/>
        </w:rPr>
        <w:t>PayCV</w:t>
      </w:r>
      <w:proofErr w:type="spellEnd"/>
      <w:r w:rsidR="006B36CA" w:rsidRPr="004D3981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B36CA" w:rsidRPr="0064470F" w:rsidTr="00087B47">
        <w:tc>
          <w:tcPr>
            <w:tcW w:w="10296" w:type="dxa"/>
          </w:tcPr>
          <w:p w:rsidR="006B36CA" w:rsidRPr="0064470F" w:rsidRDefault="006B36CA" w:rsidP="00087B47">
            <w:r w:rsidRPr="0064470F">
              <w:rPr>
                <w:b/>
              </w:rPr>
              <w:t>Employee ID &amp; employee name</w:t>
            </w:r>
            <w:r w:rsidRPr="0064470F">
              <w:t xml:space="preserve"> payroll correction is for:</w:t>
            </w:r>
          </w:p>
        </w:tc>
      </w:tr>
      <w:tr w:rsidR="006B36CA" w:rsidRPr="0064470F" w:rsidTr="00087B47">
        <w:tc>
          <w:tcPr>
            <w:tcW w:w="10296" w:type="dxa"/>
          </w:tcPr>
          <w:p w:rsidR="006B36CA" w:rsidRPr="0064470F" w:rsidRDefault="006B36CA" w:rsidP="00BD4BBD">
            <w:r w:rsidRPr="0064470F">
              <w:rPr>
                <w:b/>
              </w:rPr>
              <w:t xml:space="preserve">Salary </w:t>
            </w:r>
            <w:r w:rsidR="00BD4BBD">
              <w:rPr>
                <w:b/>
              </w:rPr>
              <w:t>amount</w:t>
            </w:r>
            <w:r w:rsidRPr="0064470F">
              <w:rPr>
                <w:b/>
              </w:rPr>
              <w:t xml:space="preserve"> to transfer</w:t>
            </w:r>
            <w:r w:rsidR="00BD4BBD">
              <w:rPr>
                <w:b/>
              </w:rPr>
              <w:t xml:space="preserve"> (appropriate fringe amounts will be moved automatically)</w:t>
            </w:r>
            <w:r w:rsidRPr="0064470F">
              <w:t xml:space="preserve">:                                                              </w:t>
            </w:r>
          </w:p>
        </w:tc>
      </w:tr>
      <w:tr w:rsidR="006B36CA" w:rsidRPr="0064470F" w:rsidTr="00087B47">
        <w:tc>
          <w:tcPr>
            <w:tcW w:w="10296" w:type="dxa"/>
          </w:tcPr>
          <w:p w:rsidR="006B36CA" w:rsidRPr="0064470F" w:rsidRDefault="006B36CA" w:rsidP="00087B47">
            <w:r w:rsidRPr="0064470F">
              <w:rPr>
                <w:b/>
              </w:rPr>
              <w:t>Pay period begin and end dates(s) impacted</w:t>
            </w:r>
            <w:r w:rsidRPr="0064470F">
              <w:t>:</w:t>
            </w:r>
          </w:p>
        </w:tc>
      </w:tr>
      <w:tr w:rsidR="006B36CA" w:rsidRPr="0064470F" w:rsidTr="00087B47">
        <w:tc>
          <w:tcPr>
            <w:tcW w:w="10296" w:type="dxa"/>
          </w:tcPr>
          <w:p w:rsidR="006B36CA" w:rsidRPr="0064470F" w:rsidRDefault="006B36CA" w:rsidP="00087B47">
            <w:pPr>
              <w:rPr>
                <w:b/>
              </w:rPr>
            </w:pPr>
            <w:r w:rsidRPr="0064470F">
              <w:rPr>
                <w:b/>
              </w:rPr>
              <w:t>Original MFK:</w:t>
            </w:r>
          </w:p>
        </w:tc>
      </w:tr>
      <w:tr w:rsidR="006B36CA" w:rsidRPr="0064470F" w:rsidTr="00087B47">
        <w:tc>
          <w:tcPr>
            <w:tcW w:w="10296" w:type="dxa"/>
          </w:tcPr>
          <w:p w:rsidR="006B36CA" w:rsidRPr="0064470F" w:rsidRDefault="006B36CA" w:rsidP="00087B47">
            <w:pPr>
              <w:rPr>
                <w:b/>
              </w:rPr>
            </w:pPr>
            <w:r w:rsidRPr="0064470F">
              <w:rPr>
                <w:b/>
              </w:rPr>
              <w:t>New MFK:</w:t>
            </w:r>
          </w:p>
        </w:tc>
      </w:tr>
      <w:tr w:rsidR="006B36CA" w:rsidRPr="0064470F" w:rsidTr="00087B47">
        <w:tc>
          <w:tcPr>
            <w:tcW w:w="10296" w:type="dxa"/>
          </w:tcPr>
          <w:p w:rsidR="006B36CA" w:rsidRPr="0064470F" w:rsidRDefault="006B36CA" w:rsidP="00087B47">
            <w:r w:rsidRPr="0064470F">
              <w:t>Notes:</w:t>
            </w:r>
          </w:p>
        </w:tc>
      </w:tr>
    </w:tbl>
    <w:p w:rsidR="00E9026C" w:rsidRDefault="006B36CA" w:rsidP="00B42DEF">
      <w:pPr>
        <w:spacing w:before="120"/>
      </w:pPr>
      <w:r w:rsidRPr="00B42DEF">
        <w:rPr>
          <w:b/>
          <w:i/>
          <w:color w:val="FF0000"/>
        </w:rPr>
        <w:t xml:space="preserve">NOTE: Please attach any files or print shots from the </w:t>
      </w:r>
      <w:proofErr w:type="spellStart"/>
      <w:r w:rsidRPr="00B42DEF">
        <w:rPr>
          <w:b/>
          <w:i/>
          <w:color w:val="FF0000"/>
        </w:rPr>
        <w:t>PayCV</w:t>
      </w:r>
      <w:proofErr w:type="spellEnd"/>
      <w:r w:rsidRPr="00B42DEF">
        <w:rPr>
          <w:b/>
          <w:i/>
          <w:color w:val="FF0000"/>
        </w:rPr>
        <w:t xml:space="preserve"> or </w:t>
      </w:r>
      <w:proofErr w:type="spellStart"/>
      <w:r w:rsidRPr="00B42DEF">
        <w:rPr>
          <w:b/>
          <w:i/>
          <w:color w:val="FF0000"/>
        </w:rPr>
        <w:t>CumComp</w:t>
      </w:r>
      <w:proofErr w:type="spellEnd"/>
      <w:r w:rsidRPr="00B42DEF">
        <w:rPr>
          <w:b/>
          <w:i/>
          <w:color w:val="FF0000"/>
        </w:rPr>
        <w:t xml:space="preserve"> DSS applications as necessary to supply </w:t>
      </w:r>
      <w:r w:rsidR="00725DAC">
        <w:rPr>
          <w:b/>
          <w:i/>
          <w:color w:val="FF0000"/>
        </w:rPr>
        <w:t>Grant Accounting</w:t>
      </w:r>
      <w:r w:rsidRPr="00B42DEF">
        <w:rPr>
          <w:b/>
          <w:i/>
          <w:color w:val="FF0000"/>
        </w:rPr>
        <w:t xml:space="preserve"> with the details to be able to complete the </w:t>
      </w:r>
      <w:proofErr w:type="spellStart"/>
      <w:r w:rsidRPr="00B42DEF">
        <w:rPr>
          <w:b/>
          <w:i/>
          <w:color w:val="FF0000"/>
        </w:rPr>
        <w:t>PayCV</w:t>
      </w:r>
      <w:proofErr w:type="spellEnd"/>
      <w:r w:rsidRPr="00B42DEF">
        <w:rPr>
          <w:b/>
          <w:i/>
          <w:color w:val="FF0000"/>
        </w:rPr>
        <w:t xml:space="preserve"> request. Incomplete requests will delay the creation and posting of the </w:t>
      </w:r>
      <w:proofErr w:type="spellStart"/>
      <w:r w:rsidRPr="00B42DEF">
        <w:rPr>
          <w:b/>
          <w:i/>
          <w:color w:val="FF0000"/>
        </w:rPr>
        <w:t>PayCV</w:t>
      </w:r>
      <w:proofErr w:type="spellEnd"/>
      <w:r w:rsidRPr="00B42DEF">
        <w:rPr>
          <w:b/>
          <w:i/>
          <w:color w:val="FF0000"/>
        </w:rPr>
        <w:t xml:space="preserve"> transactions by </w:t>
      </w:r>
      <w:r w:rsidR="00725DAC">
        <w:rPr>
          <w:b/>
          <w:i/>
          <w:color w:val="FF0000"/>
        </w:rPr>
        <w:t>Grant Accounting</w:t>
      </w:r>
      <w:r w:rsidRPr="00B42DEF">
        <w:rPr>
          <w:b/>
          <w:i/>
          <w:color w:val="FF0000"/>
        </w:rPr>
        <w:t>.</w:t>
      </w:r>
      <w:r w:rsidR="00B42DEF">
        <w:tab/>
      </w:r>
    </w:p>
    <w:p w:rsidR="005358A5" w:rsidRPr="005358A5" w:rsidRDefault="005358A5" w:rsidP="005358A5">
      <w:pPr>
        <w:spacing w:before="1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Last Updated: </w:t>
      </w:r>
      <w:r w:rsidR="00FE58EC">
        <w:rPr>
          <w:i/>
          <w:sz w:val="18"/>
          <w:szCs w:val="18"/>
        </w:rPr>
        <w:t>February 2016</w:t>
      </w:r>
      <w:bookmarkStart w:id="0" w:name="_GoBack"/>
      <w:bookmarkEnd w:id="0"/>
    </w:p>
    <w:sectPr w:rsidR="005358A5" w:rsidRPr="005358A5" w:rsidSect="006B36CA">
      <w:pgSz w:w="12240" w:h="15840"/>
      <w:pgMar w:top="360" w:right="1008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4477"/>
    <w:multiLevelType w:val="hybridMultilevel"/>
    <w:tmpl w:val="A664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C44C0"/>
    <w:multiLevelType w:val="hybridMultilevel"/>
    <w:tmpl w:val="138A03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CA"/>
    <w:rsid w:val="00087B47"/>
    <w:rsid w:val="000C2710"/>
    <w:rsid w:val="002F294A"/>
    <w:rsid w:val="003133EF"/>
    <w:rsid w:val="00466BA6"/>
    <w:rsid w:val="005358A5"/>
    <w:rsid w:val="00556914"/>
    <w:rsid w:val="0064470F"/>
    <w:rsid w:val="00690B8F"/>
    <w:rsid w:val="006B36CA"/>
    <w:rsid w:val="006D2607"/>
    <w:rsid w:val="00725DAC"/>
    <w:rsid w:val="0074448B"/>
    <w:rsid w:val="0075257F"/>
    <w:rsid w:val="007B5E3F"/>
    <w:rsid w:val="007D49A7"/>
    <w:rsid w:val="00825178"/>
    <w:rsid w:val="00A30E0B"/>
    <w:rsid w:val="00A7186C"/>
    <w:rsid w:val="00AB354C"/>
    <w:rsid w:val="00B42DEF"/>
    <w:rsid w:val="00BD4BBD"/>
    <w:rsid w:val="00C41E53"/>
    <w:rsid w:val="00CE0284"/>
    <w:rsid w:val="00D7580F"/>
    <w:rsid w:val="00E104DF"/>
    <w:rsid w:val="00E9026C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27585-C0BD-4C71-A3D8-B9C6C85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36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midele-alarape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468E-6D5C-4633-BA6F-6422DC0B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3210</CharactersWithSpaces>
  <SharedDoc>false</SharedDoc>
  <HLinks>
    <vt:vector size="6" baseType="variant"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mailto:diane-byrne@uiowa.edu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cgritton</dc:creator>
  <cp:lastModifiedBy>Huber, Chris R</cp:lastModifiedBy>
  <cp:revision>3</cp:revision>
  <cp:lastPrinted>2009-06-18T14:27:00Z</cp:lastPrinted>
  <dcterms:created xsi:type="dcterms:W3CDTF">2016-02-29T18:54:00Z</dcterms:created>
  <dcterms:modified xsi:type="dcterms:W3CDTF">2016-02-29T18:55:00Z</dcterms:modified>
</cp:coreProperties>
</file>